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493F9D" w:rsidP="008A22C6">
      <w:r>
        <w:rPr>
          <w:noProof/>
          <w:lang w:eastAsia="en-GB"/>
        </w:rPr>
        <w:drawing>
          <wp:inline distT="0" distB="0" distL="0" distR="0" wp14:anchorId="0E5A18DE" wp14:editId="3178AAF5">
            <wp:extent cx="5731510" cy="3353463"/>
            <wp:effectExtent l="0" t="0" r="21590" b="18415"/>
            <wp:docPr id="1" name="Chart 1" title="Content of training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3F9D" w:rsidRDefault="00493F9D" w:rsidP="008A22C6"/>
    <w:p w:rsidR="00493F9D" w:rsidRDefault="00493F9D" w:rsidP="008A22C6"/>
    <w:p w:rsidR="00493F9D" w:rsidRDefault="00493F9D" w:rsidP="008A22C6"/>
    <w:p w:rsidR="00493F9D" w:rsidRDefault="00493F9D" w:rsidP="008A22C6">
      <w:r>
        <w:rPr>
          <w:noProof/>
          <w:lang w:eastAsia="en-GB"/>
        </w:rPr>
        <w:drawing>
          <wp:inline distT="0" distB="0" distL="0" distR="0" wp14:anchorId="7D433638" wp14:editId="1683EB8C">
            <wp:extent cx="5734050" cy="2857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F9D" w:rsidRDefault="00493F9D" w:rsidP="008A22C6"/>
    <w:p w:rsidR="00493F9D" w:rsidRDefault="00493F9D" w:rsidP="008A22C6">
      <w:r>
        <w:rPr>
          <w:noProof/>
          <w:lang w:eastAsia="en-GB"/>
        </w:rPr>
        <w:lastRenderedPageBreak/>
        <w:drawing>
          <wp:inline distT="0" distB="0" distL="0" distR="0" wp14:anchorId="5DF00E3C" wp14:editId="5D5EEC5C">
            <wp:extent cx="5715000" cy="28575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3F9D" w:rsidRDefault="00493F9D" w:rsidP="008A22C6"/>
    <w:p w:rsidR="00493F9D" w:rsidRDefault="00493F9D" w:rsidP="008A22C6"/>
    <w:p w:rsidR="00493F9D" w:rsidRDefault="00493F9D" w:rsidP="008A22C6">
      <w:bookmarkStart w:id="0" w:name="_GoBack"/>
      <w:bookmarkEnd w:id="0"/>
    </w:p>
    <w:p w:rsidR="00493F9D" w:rsidRDefault="00493F9D" w:rsidP="008A22C6"/>
    <w:p w:rsidR="00493F9D" w:rsidRDefault="00493F9D" w:rsidP="008A22C6">
      <w:r>
        <w:rPr>
          <w:noProof/>
          <w:lang w:eastAsia="en-GB"/>
        </w:rPr>
        <w:drawing>
          <wp:inline distT="0" distB="0" distL="0" distR="0" wp14:anchorId="1D9E7A16" wp14:editId="63BE70B6">
            <wp:extent cx="5722620" cy="3489960"/>
            <wp:effectExtent l="0" t="0" r="1143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3F9D" w:rsidRDefault="00493F9D" w:rsidP="008A22C6"/>
    <w:p w:rsidR="00493F9D" w:rsidRDefault="00493F9D" w:rsidP="008A22C6">
      <w:r>
        <w:rPr>
          <w:noProof/>
          <w:lang w:eastAsia="en-GB"/>
        </w:rPr>
        <w:lastRenderedPageBreak/>
        <w:drawing>
          <wp:inline distT="0" distB="0" distL="0" distR="0" wp14:anchorId="1BF6E457" wp14:editId="69A2987F">
            <wp:extent cx="5610225" cy="28575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3F9D" w:rsidRDefault="00493F9D" w:rsidP="008A22C6"/>
    <w:p w:rsidR="00493F9D" w:rsidRDefault="00493F9D" w:rsidP="008A22C6"/>
    <w:p w:rsidR="00493F9D" w:rsidRDefault="00493F9D" w:rsidP="008A22C6"/>
    <w:p w:rsidR="00493F9D" w:rsidRDefault="00493F9D" w:rsidP="008A22C6"/>
    <w:p w:rsidR="00493F9D" w:rsidRDefault="00493F9D" w:rsidP="008A22C6"/>
    <w:p w:rsidR="00493F9D" w:rsidRPr="008A22C6" w:rsidRDefault="00493F9D" w:rsidP="008A22C6">
      <w:r>
        <w:rPr>
          <w:noProof/>
          <w:lang w:eastAsia="en-GB"/>
        </w:rPr>
        <w:drawing>
          <wp:inline distT="0" distB="0" distL="0" distR="0" wp14:anchorId="1DC13780" wp14:editId="187AEA8A">
            <wp:extent cx="5610225" cy="29813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493F9D" w:rsidRPr="008A22C6" w:rsidSect="00493F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9D" w:rsidRDefault="00493F9D" w:rsidP="00493F9D">
      <w:r>
        <w:separator/>
      </w:r>
    </w:p>
  </w:endnote>
  <w:endnote w:type="continuationSeparator" w:id="0">
    <w:p w:rsidR="00493F9D" w:rsidRDefault="00493F9D" w:rsidP="0049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9D" w:rsidRDefault="00493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9D" w:rsidRDefault="00493F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9D" w:rsidRDefault="00493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9D" w:rsidRDefault="00493F9D" w:rsidP="00493F9D">
      <w:r>
        <w:separator/>
      </w:r>
    </w:p>
  </w:footnote>
  <w:footnote w:type="continuationSeparator" w:id="0">
    <w:p w:rsidR="00493F9D" w:rsidRDefault="00493F9D" w:rsidP="0049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9D" w:rsidRDefault="00493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9D" w:rsidRPr="00493F9D" w:rsidRDefault="00493F9D">
    <w:pPr>
      <w:pStyle w:val="Header"/>
      <w:rPr>
        <w:b/>
      </w:rPr>
    </w:pPr>
    <w:r>
      <w:tab/>
    </w:r>
    <w:r>
      <w:tab/>
    </w:r>
    <w:r w:rsidRPr="00493F9D">
      <w:rPr>
        <w:b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9D" w:rsidRDefault="00493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D"/>
    <w:rsid w:val="000B4310"/>
    <w:rsid w:val="004000D7"/>
    <w:rsid w:val="00493F9D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F9D"/>
  </w:style>
  <w:style w:type="paragraph" w:styleId="Footer">
    <w:name w:val="footer"/>
    <w:basedOn w:val="Normal"/>
    <w:link w:val="FooterChar"/>
    <w:uiPriority w:val="99"/>
    <w:unhideWhenUsed/>
    <w:rsid w:val="00493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F9D"/>
  </w:style>
  <w:style w:type="paragraph" w:styleId="Footer">
    <w:name w:val="footer"/>
    <w:basedOn w:val="Normal"/>
    <w:link w:val="FooterChar"/>
    <w:uiPriority w:val="99"/>
    <w:unhideWhenUsed/>
    <w:rsid w:val="00493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5-vm-fs-c99\groups\Legal-&amp;-Committee-Services\CoMother\Members%20General%20Admin\Members%20Training\Compulsory%20Training%202015\Members%20Compulsory%20Training%20%20List%202015%20-%20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5-vm-fs-c99\groups\Legal-&amp;-Committee-Services\CoMother\Members%20General%20Admin\Members%20Training\Compulsory%20Training%202015\Members%20Compulsory%20Training%20%20List%202015%20-%20Fin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5-vm-fs-c99\groups\Legal-&amp;-Committee-Services\CoMother\Members%20General%20Admin\Members%20Training\Compulsory%20Training%202015\Members%20Compulsory%20Training%20%20List%202015%20-%20Fi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5-vm-fs-c99\groups\Legal-&amp;-Committee-Services\CoMother\Members%20General%20Admin\Members%20Training\Compulsory%20Training%202015\Members%20Compulsory%20Training%20%20List%202015%20-%20Fin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5-vm-fs-c99\groups\Legal-&amp;-Committee-Services\CoMother\Members%20General%20Admin\Members%20Training\Compulsory%20Training%202015\Members%20Compulsory%20Training%20%20List%202015%20-%20Fin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5-vm-fs-c99\groups\Legal-&amp;-Committee-Services\CoMother\Members%20General%20Admin\Members%20Training\Compulsory%20Training%202015\Members%20Compulsory%20Training%20%20List%202015%20-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Content</a:t>
            </a:r>
            <a:r>
              <a:rPr lang="en-GB" baseline="0"/>
              <a:t> of Training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Sheet3!$C$38</c:f>
              <c:strCache>
                <c:ptCount val="1"/>
                <c:pt idx="0">
                  <c:v>Conduct</c:v>
                </c:pt>
              </c:strCache>
            </c:strRef>
          </c:tx>
          <c:invertIfNegative val="0"/>
          <c:cat>
            <c:strRef>
              <c:f>Sheet3!$B$39:$B$42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Sheet3!$C$39:$C$42</c:f>
              <c:numCache>
                <c:formatCode>0%</c:formatCode>
                <c:ptCount val="4"/>
                <c:pt idx="0">
                  <c:v>0.44</c:v>
                </c:pt>
                <c:pt idx="1">
                  <c:v>0.56000000000000005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Sheet3!$D$38</c:f>
              <c:strCache>
                <c:ptCount val="1"/>
                <c:pt idx="0">
                  <c:v>Planning</c:v>
                </c:pt>
              </c:strCache>
            </c:strRef>
          </c:tx>
          <c:invertIfNegative val="0"/>
          <c:cat>
            <c:strRef>
              <c:f>Sheet3!$B$39:$B$42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Sheet3!$D$39:$D$42</c:f>
              <c:numCache>
                <c:formatCode>0%</c:formatCode>
                <c:ptCount val="4"/>
                <c:pt idx="0">
                  <c:v>0.41</c:v>
                </c:pt>
                <c:pt idx="1">
                  <c:v>0.47</c:v>
                </c:pt>
                <c:pt idx="2">
                  <c:v>0.13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Sheet3!$E$38</c:f>
              <c:strCache>
                <c:ptCount val="1"/>
                <c:pt idx="0">
                  <c:v>Licensing</c:v>
                </c:pt>
              </c:strCache>
            </c:strRef>
          </c:tx>
          <c:invertIfNegative val="0"/>
          <c:cat>
            <c:strRef>
              <c:f>Sheet3!$B$39:$B$42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Sheet3!$E$39:$E$42</c:f>
              <c:numCache>
                <c:formatCode>0%</c:formatCode>
                <c:ptCount val="4"/>
                <c:pt idx="0">
                  <c:v>0.47</c:v>
                </c:pt>
                <c:pt idx="1">
                  <c:v>0.4</c:v>
                </c:pt>
                <c:pt idx="2">
                  <c:v>0.13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69216"/>
        <c:axId val="39771520"/>
      </c:barChart>
      <c:catAx>
        <c:axId val="39769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39771520"/>
        <c:crosses val="autoZero"/>
        <c:auto val="1"/>
        <c:lblAlgn val="ctr"/>
        <c:lblOffset val="100"/>
        <c:noMultiLvlLbl val="0"/>
      </c:catAx>
      <c:valAx>
        <c:axId val="3977152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 %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39769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Notice</a:t>
            </a:r>
            <a:r>
              <a:rPr lang="en-GB" baseline="0"/>
              <a:t> of Training Sessions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Sheet3!$B$11</c:f>
              <c:strCache>
                <c:ptCount val="1"/>
                <c:pt idx="0">
                  <c:v>Conduct</c:v>
                </c:pt>
              </c:strCache>
            </c:strRef>
          </c:tx>
          <c:invertIfNegative val="0"/>
          <c:cat>
            <c:strRef>
              <c:f>Sheet3!$A$12:$A$15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Sheet3!$B$12:$B$15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0.39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Sheet3!$C$11</c:f>
              <c:strCache>
                <c:ptCount val="1"/>
                <c:pt idx="0">
                  <c:v>Plannning</c:v>
                </c:pt>
              </c:strCache>
            </c:strRef>
          </c:tx>
          <c:invertIfNegative val="0"/>
          <c:cat>
            <c:strRef>
              <c:f>Sheet3!$A$12:$A$15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Sheet3!$C$12:$C$15</c:f>
              <c:numCache>
                <c:formatCode>0%</c:formatCode>
                <c:ptCount val="4"/>
                <c:pt idx="0">
                  <c:v>0.48</c:v>
                </c:pt>
                <c:pt idx="1">
                  <c:v>0.45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Sheet3!$D$11</c:f>
              <c:strCache>
                <c:ptCount val="1"/>
                <c:pt idx="0">
                  <c:v>Licensing</c:v>
                </c:pt>
              </c:strCache>
            </c:strRef>
          </c:tx>
          <c:invertIfNegative val="0"/>
          <c:cat>
            <c:strRef>
              <c:f>Sheet3!$A$12:$A$15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Sheet3!$D$12:$D$15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58688"/>
        <c:axId val="41060992"/>
      </c:barChart>
      <c:catAx>
        <c:axId val="41058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41060992"/>
        <c:crosses val="autoZero"/>
        <c:auto val="1"/>
        <c:lblAlgn val="ctr"/>
        <c:lblOffset val="100"/>
        <c:noMultiLvlLbl val="0"/>
      </c:catAx>
      <c:valAx>
        <c:axId val="410609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41058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Rooms and Facilities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0626334208223973"/>
          <c:y val="0.19480351414406533"/>
          <c:w val="0.77151443569553801"/>
          <c:h val="0.494464494021580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Sheet3!$B$25</c:f>
              <c:strCache>
                <c:ptCount val="1"/>
                <c:pt idx="0">
                  <c:v>Conduct</c:v>
                </c:pt>
              </c:strCache>
            </c:strRef>
          </c:tx>
          <c:invertIfNegative val="0"/>
          <c:cat>
            <c:strRef>
              <c:f>Sheet3!$A$26:$A$29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Sheet3!$B$26:$B$29</c:f>
              <c:numCache>
                <c:formatCode>0%</c:formatCode>
                <c:ptCount val="4"/>
                <c:pt idx="0">
                  <c:v>0.27</c:v>
                </c:pt>
                <c:pt idx="1">
                  <c:v>0.52</c:v>
                </c:pt>
                <c:pt idx="2">
                  <c:v>0.21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Sheet3!$C$25</c:f>
              <c:strCache>
                <c:ptCount val="1"/>
                <c:pt idx="0">
                  <c:v>Plannning</c:v>
                </c:pt>
              </c:strCache>
            </c:strRef>
          </c:tx>
          <c:invertIfNegative val="0"/>
          <c:cat>
            <c:strRef>
              <c:f>Sheet3!$A$26:$A$29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Sheet3!$C$26:$C$29</c:f>
              <c:numCache>
                <c:formatCode>0%</c:formatCode>
                <c:ptCount val="4"/>
                <c:pt idx="0">
                  <c:v>0.28999999999999998</c:v>
                </c:pt>
                <c:pt idx="1">
                  <c:v>0.48</c:v>
                </c:pt>
                <c:pt idx="2">
                  <c:v>0.23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Sheet3!$D$25</c:f>
              <c:strCache>
                <c:ptCount val="1"/>
                <c:pt idx="0">
                  <c:v>Licensing</c:v>
                </c:pt>
              </c:strCache>
            </c:strRef>
          </c:tx>
          <c:invertIfNegative val="0"/>
          <c:cat>
            <c:strRef>
              <c:f>Sheet3!$A$26:$A$29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Sheet3!$D$26:$D$29</c:f>
              <c:numCache>
                <c:formatCode>0%</c:formatCode>
                <c:ptCount val="4"/>
                <c:pt idx="0">
                  <c:v>0.44</c:v>
                </c:pt>
                <c:pt idx="1">
                  <c:v>0.56000000000000005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85664"/>
        <c:axId val="84042880"/>
      </c:barChart>
      <c:catAx>
        <c:axId val="35985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84042880"/>
        <c:crosses val="autoZero"/>
        <c:auto val="1"/>
        <c:lblAlgn val="ctr"/>
        <c:lblOffset val="100"/>
        <c:noMultiLvlLbl val="0"/>
      </c:catAx>
      <c:valAx>
        <c:axId val="840428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35985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Balance</a:t>
            </a:r>
            <a:r>
              <a:rPr lang="en-GB" baseline="0"/>
              <a:t> between powerpoint and chance for discussion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Sheet3!$C$45</c:f>
              <c:strCache>
                <c:ptCount val="1"/>
                <c:pt idx="0">
                  <c:v>Conduct</c:v>
                </c:pt>
              </c:strCache>
            </c:strRef>
          </c:tx>
          <c:invertIfNegative val="0"/>
          <c:cat>
            <c:strRef>
              <c:f>Sheet3!$B$46:$B$49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Sheet3!$C$46:$C$49</c:f>
              <c:numCache>
                <c:formatCode>0%</c:formatCode>
                <c:ptCount val="4"/>
                <c:pt idx="0">
                  <c:v>0.45</c:v>
                </c:pt>
                <c:pt idx="1">
                  <c:v>0.52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Sheet3!$D$45</c:f>
              <c:strCache>
                <c:ptCount val="1"/>
                <c:pt idx="0">
                  <c:v>Planning</c:v>
                </c:pt>
              </c:strCache>
            </c:strRef>
          </c:tx>
          <c:invertIfNegative val="0"/>
          <c:cat>
            <c:strRef>
              <c:f>Sheet3!$B$46:$B$49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Sheet3!$D$46:$D$49</c:f>
              <c:numCache>
                <c:formatCode>0%</c:formatCode>
                <c:ptCount val="4"/>
                <c:pt idx="0">
                  <c:v>0.39</c:v>
                </c:pt>
                <c:pt idx="1">
                  <c:v>0.39</c:v>
                </c:pt>
                <c:pt idx="2">
                  <c:v>0.18</c:v>
                </c:pt>
                <c:pt idx="3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Sheet3!$E$45</c:f>
              <c:strCache>
                <c:ptCount val="1"/>
                <c:pt idx="0">
                  <c:v>Licensing</c:v>
                </c:pt>
              </c:strCache>
            </c:strRef>
          </c:tx>
          <c:invertIfNegative val="0"/>
          <c:cat>
            <c:strRef>
              <c:f>Sheet3!$B$46:$B$49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Sheet3!$E$46:$E$49</c:f>
              <c:numCache>
                <c:formatCode>0%</c:formatCode>
                <c:ptCount val="4"/>
                <c:pt idx="0">
                  <c:v>0.44</c:v>
                </c:pt>
                <c:pt idx="1">
                  <c:v>0.19</c:v>
                </c:pt>
                <c:pt idx="2">
                  <c:v>0.38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77632"/>
        <c:axId val="78713600"/>
      </c:barChart>
      <c:catAx>
        <c:axId val="36277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8713600"/>
        <c:crosses val="autoZero"/>
        <c:auto val="1"/>
        <c:lblAlgn val="ctr"/>
        <c:lblOffset val="100"/>
        <c:noMultiLvlLbl val="0"/>
      </c:catAx>
      <c:valAx>
        <c:axId val="7871360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36277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Choice of dates/ times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Sheet3!$B$18</c:f>
              <c:strCache>
                <c:ptCount val="1"/>
                <c:pt idx="0">
                  <c:v>Conduct</c:v>
                </c:pt>
              </c:strCache>
            </c:strRef>
          </c:tx>
          <c:invertIfNegative val="0"/>
          <c:cat>
            <c:strRef>
              <c:f>Sheet3!$A$19:$A$22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Sheet3!$B$19:$B$22</c:f>
              <c:numCache>
                <c:formatCode>0%</c:formatCode>
                <c:ptCount val="4"/>
                <c:pt idx="0">
                  <c:v>0.27</c:v>
                </c:pt>
                <c:pt idx="1">
                  <c:v>0.64</c:v>
                </c:pt>
                <c:pt idx="2">
                  <c:v>0.06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Sheet3!$C$18</c:f>
              <c:strCache>
                <c:ptCount val="1"/>
                <c:pt idx="0">
                  <c:v>Plannning</c:v>
                </c:pt>
              </c:strCache>
            </c:strRef>
          </c:tx>
          <c:invertIfNegative val="0"/>
          <c:cat>
            <c:strRef>
              <c:f>Sheet3!$A$19:$A$22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Sheet3!$C$19:$C$22</c:f>
              <c:numCache>
                <c:formatCode>0%</c:formatCode>
                <c:ptCount val="4"/>
                <c:pt idx="0">
                  <c:v>0.33</c:v>
                </c:pt>
                <c:pt idx="1">
                  <c:v>0.48</c:v>
                </c:pt>
                <c:pt idx="2">
                  <c:v>0.18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Sheet3!$D$18</c:f>
              <c:strCache>
                <c:ptCount val="1"/>
                <c:pt idx="0">
                  <c:v>Licensing</c:v>
                </c:pt>
              </c:strCache>
            </c:strRef>
          </c:tx>
          <c:invertIfNegative val="0"/>
          <c:cat>
            <c:strRef>
              <c:f>Sheet3!$A$19:$A$22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Sheet3!$D$19:$D$22</c:f>
              <c:numCache>
                <c:formatCode>0%</c:formatCode>
                <c:ptCount val="4"/>
                <c:pt idx="0">
                  <c:v>0</c:v>
                </c:pt>
                <c:pt idx="1">
                  <c:v>0.63</c:v>
                </c:pt>
                <c:pt idx="2">
                  <c:v>0.38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01632"/>
        <c:axId val="36903168"/>
      </c:barChart>
      <c:catAx>
        <c:axId val="36901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36903168"/>
        <c:crosses val="autoZero"/>
        <c:auto val="1"/>
        <c:lblAlgn val="ctr"/>
        <c:lblOffset val="100"/>
        <c:noMultiLvlLbl val="0"/>
      </c:catAx>
      <c:valAx>
        <c:axId val="369031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36901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Handouts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Sheet3!$B$32</c:f>
              <c:strCache>
                <c:ptCount val="1"/>
                <c:pt idx="0">
                  <c:v>Conduct</c:v>
                </c:pt>
              </c:strCache>
            </c:strRef>
          </c:tx>
          <c:invertIfNegative val="0"/>
          <c:cat>
            <c:strRef>
              <c:f>Sheet3!$A$33:$A$36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Sheet3!$B$33:$B$36</c:f>
              <c:numCache>
                <c:formatCode>0%</c:formatCode>
                <c:ptCount val="4"/>
                <c:pt idx="0">
                  <c:v>0.36</c:v>
                </c:pt>
                <c:pt idx="1">
                  <c:v>0.57999999999999996</c:v>
                </c:pt>
                <c:pt idx="2">
                  <c:v>0.06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Sheet3!$C$32</c:f>
              <c:strCache>
                <c:ptCount val="1"/>
                <c:pt idx="0">
                  <c:v>Plannning</c:v>
                </c:pt>
              </c:strCache>
            </c:strRef>
          </c:tx>
          <c:invertIfNegative val="0"/>
          <c:cat>
            <c:strRef>
              <c:f>Sheet3!$A$33:$A$36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Sheet3!$C$33:$C$36</c:f>
              <c:numCache>
                <c:formatCode>0%</c:formatCode>
                <c:ptCount val="4"/>
                <c:pt idx="0">
                  <c:v>0.28000000000000003</c:v>
                </c:pt>
                <c:pt idx="1">
                  <c:v>0.48</c:v>
                </c:pt>
                <c:pt idx="2">
                  <c:v>0.24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Sheet3!$D$32</c:f>
              <c:strCache>
                <c:ptCount val="1"/>
                <c:pt idx="0">
                  <c:v>Licensing</c:v>
                </c:pt>
              </c:strCache>
            </c:strRef>
          </c:tx>
          <c:invertIfNegative val="0"/>
          <c:cat>
            <c:strRef>
              <c:f>Sheet3!$A$33:$A$36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Sheet3!$D$33:$D$36</c:f>
              <c:numCache>
                <c:formatCode>0%</c:formatCode>
                <c:ptCount val="4"/>
                <c:pt idx="0">
                  <c:v>0.06</c:v>
                </c:pt>
                <c:pt idx="1">
                  <c:v>0.69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95232"/>
        <c:axId val="104920576"/>
      </c:barChart>
      <c:catAx>
        <c:axId val="104895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920576"/>
        <c:crosses val="autoZero"/>
        <c:auto val="1"/>
        <c:lblAlgn val="ctr"/>
        <c:lblOffset val="100"/>
        <c:noMultiLvlLbl val="0"/>
      </c:catAx>
      <c:valAx>
        <c:axId val="10492057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104895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16A3-1CF9-47FB-9247-16791E69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EE4373BD</Template>
  <TotalTime>31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patricia.jones</cp:lastModifiedBy>
  <cp:revision>1</cp:revision>
  <dcterms:created xsi:type="dcterms:W3CDTF">2015-11-27T11:57:00Z</dcterms:created>
  <dcterms:modified xsi:type="dcterms:W3CDTF">2015-11-27T12:28:00Z</dcterms:modified>
</cp:coreProperties>
</file>